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2CCD" w14:textId="77777777" w:rsidR="00E807DA" w:rsidRPr="00E07932" w:rsidRDefault="00E807DA" w:rsidP="00E807DA">
      <w:pPr>
        <w:widowControl/>
        <w:spacing w:line="276" w:lineRule="auto"/>
        <w:jc w:val="center"/>
        <w:rPr>
          <w:rFonts w:asciiTheme="majorEastAsia" w:eastAsiaTheme="majorEastAsia" w:hAnsiTheme="majorEastAsia" w:cs="Arial"/>
          <w:color w:val="000000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noProof/>
          <w:color w:val="000000"/>
          <w:kern w:val="0"/>
          <w:szCs w:val="24"/>
          <w:lang w:val="zh-TW"/>
        </w:rPr>
        <w:drawing>
          <wp:anchor distT="0" distB="0" distL="114300" distR="114300" simplePos="0" relativeHeight="251658240" behindDoc="1" locked="0" layoutInCell="1" allowOverlap="1" wp14:anchorId="64746341" wp14:editId="69B4D2FE">
            <wp:simplePos x="0" y="0"/>
            <wp:positionH relativeFrom="column">
              <wp:posOffset>1866265</wp:posOffset>
            </wp:positionH>
            <wp:positionV relativeFrom="paragraph">
              <wp:posOffset>-381635</wp:posOffset>
            </wp:positionV>
            <wp:extent cx="2531165" cy="681468"/>
            <wp:effectExtent l="0" t="0" r="2540" b="4445"/>
            <wp:wrapNone/>
            <wp:docPr id="649839926" name="圖片 649839926" descr="一張含有 圖形, 平面設計, 字型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839926" name="圖片 649839926" descr="一張含有 圖形, 平面設計, 字型, 螢幕擷取畫面 的圖片&#10;&#10;自動產生的描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65" cy="68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71F31" w14:textId="70091AF1" w:rsidR="00E807DA" w:rsidRPr="00E07932" w:rsidRDefault="00E807DA" w:rsidP="00E807DA">
      <w:pPr>
        <w:widowControl/>
        <w:spacing w:line="276" w:lineRule="auto"/>
        <w:jc w:val="center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財團法人台灣媒體觀察教育基金會</w:t>
      </w:r>
      <w:r w:rsidR="00E63886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 xml:space="preserve"> 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媒體採訪通知</w:t>
      </w:r>
    </w:p>
    <w:p w14:paraId="732440B9" w14:textId="7EB43023" w:rsidR="003535BF" w:rsidRPr="00D416EF" w:rsidRDefault="006103B0" w:rsidP="00D24188">
      <w:pPr>
        <w:widowControl/>
        <w:spacing w:beforeLines="30" w:before="108"/>
        <w:jc w:val="center"/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</w:pPr>
      <w:r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提升</w:t>
      </w:r>
      <w:r w:rsidR="003535BF"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媒體</w:t>
      </w:r>
      <w:r w:rsidR="00C30F65"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 xml:space="preserve">素養 </w:t>
      </w:r>
      <w:r w:rsidR="00D416EF"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與</w:t>
      </w:r>
      <w:r w:rsidR="00C30F65"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優質媒體相遇</w:t>
      </w:r>
    </w:p>
    <w:p w14:paraId="7A2790F1" w14:textId="5C824E64" w:rsidR="00D416EF" w:rsidRPr="00D416EF" w:rsidRDefault="00D416EF" w:rsidP="00D24188">
      <w:pPr>
        <w:widowControl/>
        <w:spacing w:beforeLines="30" w:before="108" w:after="240"/>
        <w:jc w:val="center"/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</w:pPr>
      <w:r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「【給我五分鐘】</w:t>
      </w:r>
      <w:proofErr w:type="gramStart"/>
      <w:r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—</w:t>
      </w:r>
      <w:proofErr w:type="gramEnd"/>
      <w:r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媒體素養與</w:t>
      </w:r>
      <w:proofErr w:type="gramStart"/>
      <w:r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優質兒</w:t>
      </w:r>
      <w:proofErr w:type="gramEnd"/>
      <w:r w:rsidRPr="00D416EF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少節目展」開幕暨頒獎典禮</w:t>
      </w:r>
    </w:p>
    <w:p w14:paraId="0E699F68" w14:textId="6B1DFDFA" w:rsidR="002F589D" w:rsidRPr="00A605CF" w:rsidRDefault="002F589D" w:rsidP="002F589D">
      <w:pPr>
        <w:widowControl/>
        <w:spacing w:line="276" w:lineRule="auto"/>
        <w:ind w:rightChars="-24" w:right="-58"/>
        <w:rPr>
          <w:rFonts w:asciiTheme="majorEastAsia" w:eastAsiaTheme="majorEastAsia" w:hAnsiTheme="majorEastAsia" w:cs="新細明體"/>
          <w:bCs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bCs/>
          <w:kern w:val="0"/>
          <w:szCs w:val="24"/>
        </w:rPr>
        <w:t>「台灣媒體的下限有多低？」一個月前，Youtuber 錫蘭曾發布影片，檢討台灣媒體的亂</w:t>
      </w:r>
      <w:proofErr w:type="gramStart"/>
      <w:r>
        <w:rPr>
          <w:rFonts w:asciiTheme="majorEastAsia" w:eastAsiaTheme="majorEastAsia" w:hAnsiTheme="majorEastAsia" w:cs="新細明體" w:hint="eastAsia"/>
          <w:bCs/>
          <w:kern w:val="0"/>
          <w:szCs w:val="24"/>
        </w:rPr>
        <w:t>象</w:t>
      </w:r>
      <w:proofErr w:type="gramEnd"/>
      <w:r>
        <w:rPr>
          <w:rFonts w:asciiTheme="majorEastAsia" w:eastAsiaTheme="majorEastAsia" w:hAnsiTheme="majorEastAsia" w:cs="新細明體" w:hint="eastAsia"/>
          <w:bCs/>
          <w:kern w:val="0"/>
          <w:szCs w:val="24"/>
        </w:rPr>
        <w:t>。</w:t>
      </w:r>
      <w:r>
        <w:rPr>
          <w:rFonts w:asciiTheme="majorEastAsia" w:eastAsiaTheme="majorEastAsia" w:hAnsiTheme="majorEastAsia" w:cs="新細明體"/>
          <w:bCs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bCs/>
          <w:kern w:val="0"/>
          <w:szCs w:val="24"/>
        </w:rPr>
        <w:t>儘管台灣媒體有需要進步的地方，好媒體和好觀眾無法找到彼此，的確是目前的困境。</w:t>
      </w:r>
      <w:r w:rsidR="009C0D99">
        <w:rPr>
          <w:rFonts w:asciiTheme="majorEastAsia" w:eastAsiaTheme="majorEastAsia" w:hAnsiTheme="majorEastAsia" w:cs="新細明體"/>
          <w:bCs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bCs/>
          <w:kern w:val="0"/>
          <w:szCs w:val="24"/>
        </w:rPr>
        <w:t>然而要找到好的媒體，閱聽人的媒體素養提升與對優質節目的肯定不可或缺。</w:t>
      </w:r>
      <w:r>
        <w:rPr>
          <w:rFonts w:asciiTheme="majorEastAsia" w:eastAsiaTheme="majorEastAsia" w:hAnsiTheme="majorEastAsia" w:cs="新細明體"/>
          <w:bCs/>
          <w:kern w:val="0"/>
          <w:szCs w:val="24"/>
        </w:rPr>
        <w:br/>
      </w:r>
      <w:r>
        <w:rPr>
          <w:rFonts w:asciiTheme="majorEastAsia" w:eastAsiaTheme="majorEastAsia" w:hAnsiTheme="majorEastAsia" w:cs="新細明體" w:hint="eastAsia"/>
          <w:bCs/>
          <w:kern w:val="0"/>
          <w:szCs w:val="24"/>
        </w:rPr>
        <w:t>台灣媒體觀察教育基金會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（後稱媒觀）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成立第24年，長期致力於媒體素養的推廣與台灣</w:t>
      </w:r>
      <w:proofErr w:type="gramStart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優質兒</w:t>
      </w:r>
      <w:proofErr w:type="gramEnd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少節目的鼓勵。在教育部將媒體素養納入108</w:t>
      </w:r>
      <w:proofErr w:type="gramStart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課綱的</w:t>
      </w:r>
      <w:proofErr w:type="gramEnd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核心能力後，</w:t>
      </w:r>
      <w:proofErr w:type="gramStart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媒觀相繼</w:t>
      </w:r>
      <w:proofErr w:type="gramEnd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出版了媒體素養補充教材【</w:t>
      </w:r>
      <w:r w:rsidRPr="00AE175A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媒體爆爆—資訊爆炸生活指南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】、媒體</w:t>
      </w:r>
      <w:proofErr w:type="gramStart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素養桌遊【選情風向球】</w:t>
      </w:r>
      <w:proofErr w:type="gramEnd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及拍攝多部媒體素養教材影片；「台灣兒童及少年優質節目頒獎典禮」更即將舉辦第23屆。</w:t>
      </w:r>
      <w:r>
        <w:rPr>
          <w:rFonts w:asciiTheme="majorEastAsia" w:eastAsiaTheme="majorEastAsia" w:hAnsiTheme="majorEastAsia" w:cs="Arial"/>
          <w:color w:val="000000"/>
          <w:kern w:val="0"/>
          <w:szCs w:val="24"/>
        </w:rPr>
        <w:br/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為了因應短影片的時代，今年首度辦理「給我五分鐘」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大學生暨高中職媒體素養短影片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競賽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。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並將競賽頒獎典禮擴大舉辦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成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為期兩天的「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給我五分鐘</w:t>
      </w:r>
      <w:proofErr w:type="gramStart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——</w:t>
      </w:r>
      <w:proofErr w:type="gramEnd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媒體素養與</w:t>
      </w:r>
      <w:proofErr w:type="gramStart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優質兒</w:t>
      </w:r>
      <w:proofErr w:type="gramEnd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少節目展」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，於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10月21日（星期六）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早上10點至11點舉行開幕暨頒獎典禮，敬邀媒體同業蒞臨採訪指導。</w:t>
      </w:r>
    </w:p>
    <w:p w14:paraId="28B2218D" w14:textId="77777777" w:rsidR="002F589D" w:rsidRDefault="002F589D" w:rsidP="002F589D">
      <w:pPr>
        <w:widowControl/>
        <w:spacing w:afterLines="30" w:after="108" w:line="276" w:lineRule="auto"/>
        <w:rPr>
          <w:rFonts w:asciiTheme="majorEastAsia" w:eastAsiaTheme="majorEastAsia" w:hAnsiTheme="majorEastAsia" w:cs="Arial"/>
          <w:color w:val="000000"/>
          <w:kern w:val="0"/>
          <w:szCs w:val="24"/>
        </w:rPr>
      </w:pP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二日活動中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，將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展出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短影片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競賽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的入圍影片</w:t>
      </w:r>
      <w:proofErr w:type="gramStart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與媒觀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近年</w:t>
      </w:r>
      <w:proofErr w:type="gramEnd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在媒體素養素材與推薦</w:t>
      </w:r>
      <w:proofErr w:type="gramStart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優質兒</w:t>
      </w:r>
      <w:proofErr w:type="gramEnd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少節目，並同時辦理數場寓教於樂沙龍</w:t>
      </w:r>
      <w:proofErr w:type="gramStart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與桌遊工作</w:t>
      </w:r>
      <w:proofErr w:type="gramEnd"/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坊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，及邀請數個公民團體分享優質出版品。</w:t>
      </w:r>
    </w:p>
    <w:p w14:paraId="051518D9" w14:textId="79AACE1D" w:rsidR="002F589D" w:rsidRPr="003A4DD5" w:rsidRDefault="002F589D" w:rsidP="002F589D">
      <w:pPr>
        <w:widowControl/>
        <w:spacing w:afterLines="30" w:after="108" w:line="276" w:lineRule="auto"/>
        <w:rPr>
          <w:rFonts w:asciiTheme="majorEastAsia" w:eastAsiaTheme="majorEastAsia" w:hAnsiTheme="majorEastAsia" w:cs="Arial"/>
          <w:color w:val="000000"/>
          <w:kern w:val="0"/>
          <w:szCs w:val="24"/>
        </w:rPr>
      </w:pP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歡迎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一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同</w:t>
      </w:r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支持台灣的媒體素養教育與</w:t>
      </w:r>
      <w:proofErr w:type="gramStart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優質兒</w:t>
      </w:r>
      <w:proofErr w:type="gramEnd"/>
      <w:r w:rsidRPr="003A4DD5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少節目！</w:t>
      </w:r>
    </w:p>
    <w:p w14:paraId="57AA8FD2" w14:textId="26AB4A00" w:rsidR="00D416EF" w:rsidRPr="00E07932" w:rsidRDefault="00D416EF" w:rsidP="00D416EF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一、時間：202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3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年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10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月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21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日（星期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六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）1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0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: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0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0-1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1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: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00</w:t>
      </w:r>
      <w:proofErr w:type="gramStart"/>
      <w:r w:rsidRPr="00E07932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（</w:t>
      </w:r>
      <w:proofErr w:type="gramEnd"/>
      <w:r w:rsidRPr="00D416E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9:30報到</w:t>
      </w:r>
      <w:r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，</w:t>
      </w:r>
      <w:r w:rsidRPr="00E07932">
        <w:rPr>
          <w:rFonts w:asciiTheme="majorEastAsia" w:eastAsiaTheme="majorEastAsia" w:hAnsiTheme="majorEastAsia" w:cs="Arial"/>
          <w:b/>
          <w:bCs/>
          <w:color w:val="000000"/>
          <w:kern w:val="0"/>
          <w:szCs w:val="24"/>
        </w:rPr>
        <w:t>會後提供完整新聞稿</w:t>
      </w:r>
      <w:proofErr w:type="gramStart"/>
      <w:r w:rsidRPr="00D416E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）</w:t>
      </w:r>
      <w:proofErr w:type="gramEnd"/>
    </w:p>
    <w:p w14:paraId="455C4CEC" w14:textId="7CE5BBB8" w:rsidR="00D416EF" w:rsidRPr="00E07932" w:rsidRDefault="00D416EF" w:rsidP="00D416EF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二、地點：</w:t>
      </w:r>
      <w:proofErr w:type="gramStart"/>
      <w:r w:rsidRPr="00D416E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松山文創園區</w:t>
      </w:r>
      <w:proofErr w:type="gramEnd"/>
      <w:r w:rsidRPr="00D416E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 xml:space="preserve"> 南向製</w:t>
      </w:r>
      <w:proofErr w:type="gramStart"/>
      <w:r w:rsidRPr="00D416E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菸</w:t>
      </w:r>
      <w:proofErr w:type="gramEnd"/>
      <w:r w:rsidRPr="00D416E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工廠一樓（台北市信義區光復南路133號）</w:t>
      </w:r>
    </w:p>
    <w:p w14:paraId="00FFC737" w14:textId="77777777" w:rsidR="00D416EF" w:rsidRPr="00E07932" w:rsidRDefault="00D416EF" w:rsidP="00D416EF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三、主辦單位：財團法人台灣媒體觀察教育基金會</w:t>
      </w:r>
    </w:p>
    <w:p w14:paraId="72B825B8" w14:textId="5D2D5014" w:rsidR="00E62E21" w:rsidRPr="00E07932" w:rsidRDefault="00D416EF" w:rsidP="00AE175A">
      <w:pPr>
        <w:widowControl/>
        <w:spacing w:beforeLines="20" w:before="72" w:after="240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四、與會</w:t>
      </w:r>
      <w:r w:rsidR="00E62E21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貴賓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：</w:t>
      </w:r>
      <w:r w:rsidR="00C70FCF">
        <w:rPr>
          <w:rFonts w:asciiTheme="majorEastAsia" w:eastAsiaTheme="majorEastAsia" w:hAnsiTheme="majorEastAsia" w:cs="Arial"/>
          <w:color w:val="000000"/>
          <w:kern w:val="0"/>
          <w:szCs w:val="24"/>
        </w:rPr>
        <w:br/>
      </w:r>
      <w:r w:rsidR="00320A78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徐宜君</w:t>
      </w:r>
      <w:r w:rsidR="00320A78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</w:t>
      </w:r>
      <w:r w:rsidR="00C70F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文化部次長</w:t>
      </w:r>
      <w:r w:rsidR="00320A78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320A78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、</w:t>
      </w:r>
      <w:r w:rsidR="00C70FCF" w:rsidRPr="00C70F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李毓娟</w:t>
      </w:r>
      <w:r w:rsidR="00C70F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</w:t>
      </w:r>
      <w:r w:rsidR="00C70FCF" w:rsidRPr="00AE175A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教育部終身教育司</w:t>
      </w:r>
      <w:r w:rsidR="00C70FCF" w:rsidRPr="00AE175A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司</w:t>
      </w:r>
      <w:r w:rsidR="00C70FCF" w:rsidRPr="00AE175A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長</w:t>
      </w:r>
      <w:r w:rsidR="00C70F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C70F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、蔡忠武</w:t>
      </w:r>
      <w:r w:rsidR="00C70F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</w:t>
      </w:r>
      <w:r w:rsidR="00C70FCF" w:rsidRPr="00C70F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教育部終身教育司科長</w:t>
      </w:r>
      <w:r w:rsidR="00C70F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C70F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、</w:t>
      </w:r>
      <w:r w:rsidR="00E62E21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胡元輝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</w:t>
      </w:r>
      <w:r w:rsidR="00E62E21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公共電視董事長</w:t>
      </w: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A605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、</w:t>
      </w:r>
      <w:r w:rsidR="00E62E21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邱家宜</w:t>
      </w:r>
      <w:r w:rsidR="00E62E21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（台灣</w:t>
      </w:r>
      <w:r w:rsidR="002F589D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媒體觀察教育基金會董事</w:t>
      </w:r>
      <w:r w:rsidR="00E62E21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A605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、賴鼎銘</w:t>
      </w:r>
      <w:r w:rsidR="00A605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</w:t>
      </w:r>
      <w:r w:rsidR="00A605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監察委員</w:t>
      </w:r>
      <w:r w:rsidR="00A605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A605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、葉大華</w:t>
      </w:r>
      <w:r w:rsidR="00A605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</w:t>
      </w:r>
      <w:r w:rsidR="00A605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監察委員</w:t>
      </w:r>
      <w:r w:rsidR="00A605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C70F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、黃偉翔</w:t>
      </w:r>
      <w:r w:rsidR="00C70F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（</w:t>
      </w:r>
      <w:r w:rsidR="00C70FCF" w:rsidRPr="00C70FCF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Skills for U/技職3.0執行長</w:t>
      </w:r>
      <w:r w:rsidR="00C70FCF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）</w:t>
      </w:r>
      <w:r w:rsidR="00C70FCF">
        <w:rPr>
          <w:rFonts w:asciiTheme="majorEastAsia" w:eastAsiaTheme="majorEastAsia" w:hAnsiTheme="majorEastAsia" w:cs="Arial"/>
          <w:color w:val="000000"/>
          <w:kern w:val="0"/>
          <w:szCs w:val="24"/>
        </w:rPr>
        <w:br/>
      </w:r>
      <w:r w:rsidR="00E62E21"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五、發表會流程：</w:t>
      </w:r>
    </w:p>
    <w:tbl>
      <w:tblPr>
        <w:tblStyle w:val="a6"/>
        <w:tblW w:w="8729" w:type="dxa"/>
        <w:tblInd w:w="480" w:type="dxa"/>
        <w:tblLook w:val="04A0" w:firstRow="1" w:lastRow="0" w:firstColumn="1" w:lastColumn="0" w:noHBand="0" w:noVBand="1"/>
      </w:tblPr>
      <w:tblGrid>
        <w:gridCol w:w="1499"/>
        <w:gridCol w:w="7230"/>
      </w:tblGrid>
      <w:tr w:rsidR="00E62E21" w14:paraId="6EF205AB" w14:textId="77777777" w:rsidTr="00E62E21">
        <w:tc>
          <w:tcPr>
            <w:tcW w:w="1499" w:type="dxa"/>
            <w:vAlign w:val="center"/>
          </w:tcPr>
          <w:p w14:paraId="77F6FF1C" w14:textId="315002D1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7230" w:type="dxa"/>
            <w:vAlign w:val="center"/>
          </w:tcPr>
          <w:p w14:paraId="59A5C916" w14:textId="6588C77E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內容</w:t>
            </w:r>
          </w:p>
        </w:tc>
      </w:tr>
      <w:tr w:rsidR="00E62E21" w14:paraId="7F315579" w14:textId="77777777" w:rsidTr="00E62E21">
        <w:tc>
          <w:tcPr>
            <w:tcW w:w="1499" w:type="dxa"/>
            <w:vAlign w:val="center"/>
          </w:tcPr>
          <w:p w14:paraId="1517FF0E" w14:textId="4B5A161F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09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3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0-1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7230" w:type="dxa"/>
            <w:vAlign w:val="center"/>
          </w:tcPr>
          <w:p w14:paraId="54A06F1C" w14:textId="5A0F8BEF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報到</w:t>
            </w:r>
          </w:p>
        </w:tc>
      </w:tr>
      <w:tr w:rsidR="00E62E21" w14:paraId="243495B6" w14:textId="77777777" w:rsidTr="00E62E21">
        <w:tc>
          <w:tcPr>
            <w:tcW w:w="1499" w:type="dxa"/>
            <w:vAlign w:val="center"/>
          </w:tcPr>
          <w:p w14:paraId="30F2F998" w14:textId="21784683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:00-1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2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0</w:t>
            </w:r>
          </w:p>
        </w:tc>
        <w:tc>
          <w:tcPr>
            <w:tcW w:w="7230" w:type="dxa"/>
            <w:vAlign w:val="center"/>
          </w:tcPr>
          <w:p w14:paraId="745E0831" w14:textId="1E35DEA4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典禮開幕</w:t>
            </w:r>
          </w:p>
        </w:tc>
      </w:tr>
      <w:tr w:rsidR="00E62E21" w14:paraId="6BBF2D1B" w14:textId="77777777" w:rsidTr="00E62E21">
        <w:tc>
          <w:tcPr>
            <w:tcW w:w="1499" w:type="dxa"/>
            <w:vAlign w:val="center"/>
          </w:tcPr>
          <w:p w14:paraId="394B6BF4" w14:textId="13AB0542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2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0-1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7230" w:type="dxa"/>
            <w:vAlign w:val="center"/>
          </w:tcPr>
          <w:p w14:paraId="1D794C41" w14:textId="22F579FD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高中職組頒獎</w:t>
            </w:r>
            <w:proofErr w:type="gramEnd"/>
          </w:p>
        </w:tc>
      </w:tr>
      <w:tr w:rsidR="00E62E21" w14:paraId="1B5E788C" w14:textId="77777777" w:rsidTr="00E62E21">
        <w:tc>
          <w:tcPr>
            <w:tcW w:w="1499" w:type="dxa"/>
            <w:vAlign w:val="center"/>
          </w:tcPr>
          <w:p w14:paraId="2F415B67" w14:textId="3E559D8D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35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-1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230" w:type="dxa"/>
            <w:vAlign w:val="center"/>
          </w:tcPr>
          <w:p w14:paraId="795C5A80" w14:textId="2E65EA15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大學組頒獎</w:t>
            </w:r>
          </w:p>
        </w:tc>
      </w:tr>
      <w:tr w:rsidR="00E62E21" w14:paraId="40354200" w14:textId="77777777" w:rsidTr="00E62E21">
        <w:tc>
          <w:tcPr>
            <w:tcW w:w="1499" w:type="dxa"/>
            <w:vAlign w:val="center"/>
          </w:tcPr>
          <w:p w14:paraId="5BFCFB6A" w14:textId="49F03550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5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0-1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1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7230" w:type="dxa"/>
            <w:vAlign w:val="center"/>
          </w:tcPr>
          <w:p w14:paraId="1345EAFA" w14:textId="1F3A1DE6" w:rsidR="00E62E21" w:rsidRDefault="00E62E21" w:rsidP="00E62E21">
            <w:pPr>
              <w:widowControl/>
              <w:spacing w:beforeLines="20" w:before="72" w:line="276" w:lineRule="auto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禮成/</w:t>
            </w:r>
            <w:proofErr w:type="gramStart"/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媒體聯訪</w:t>
            </w:r>
            <w:proofErr w:type="gramEnd"/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、展場巡禮</w:t>
            </w:r>
          </w:p>
        </w:tc>
      </w:tr>
    </w:tbl>
    <w:p w14:paraId="566AA59D" w14:textId="701DA6CC" w:rsidR="00AE175A" w:rsidRPr="00AE175A" w:rsidRDefault="00D416EF" w:rsidP="00E244E8">
      <w:pPr>
        <w:widowControl/>
        <w:spacing w:line="276" w:lineRule="auto"/>
        <w:rPr>
          <w:rFonts w:asciiTheme="majorEastAsia" w:eastAsiaTheme="majorEastAsia" w:hAnsiTheme="majorEastAsia" w:cs="Arial" w:hint="eastAsia"/>
          <w:bCs/>
          <w:color w:val="000000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  <w:t>新聞連絡人：</w:t>
      </w:r>
      <w:proofErr w:type="gramStart"/>
      <w:r w:rsidRPr="00E07932"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  <w:t>媒觀文</w:t>
      </w:r>
      <w:proofErr w:type="gramEnd"/>
      <w:r w:rsidRPr="00E07932"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  <w:t>宣推廣組專員 潘岳 02-2358-2672／0903-512-822</w:t>
      </w:r>
    </w:p>
    <w:sectPr w:rsidR="00AE175A" w:rsidRPr="00AE175A" w:rsidSect="00E0793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C3F8" w14:textId="77777777" w:rsidR="006C44E0" w:rsidRDefault="006C44E0" w:rsidP="00133503">
      <w:r>
        <w:separator/>
      </w:r>
    </w:p>
  </w:endnote>
  <w:endnote w:type="continuationSeparator" w:id="0">
    <w:p w14:paraId="2EC18BF6" w14:textId="77777777" w:rsidR="006C44E0" w:rsidRDefault="006C44E0" w:rsidP="0013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6783" w14:textId="77777777" w:rsidR="006C44E0" w:rsidRDefault="006C44E0" w:rsidP="00133503">
      <w:r>
        <w:separator/>
      </w:r>
    </w:p>
  </w:footnote>
  <w:footnote w:type="continuationSeparator" w:id="0">
    <w:p w14:paraId="2CD7496A" w14:textId="77777777" w:rsidR="006C44E0" w:rsidRDefault="006C44E0" w:rsidP="0013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0134"/>
    <w:multiLevelType w:val="hybridMultilevel"/>
    <w:tmpl w:val="8E76DA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81BCE"/>
    <w:multiLevelType w:val="hybridMultilevel"/>
    <w:tmpl w:val="E1F077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15B0ED6"/>
    <w:multiLevelType w:val="multilevel"/>
    <w:tmpl w:val="AF08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42CC8"/>
    <w:multiLevelType w:val="hybridMultilevel"/>
    <w:tmpl w:val="7EDAF2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48973333">
    <w:abstractNumId w:val="2"/>
  </w:num>
  <w:num w:numId="2" w16cid:durableId="1269921794">
    <w:abstractNumId w:val="1"/>
  </w:num>
  <w:num w:numId="3" w16cid:durableId="214699796">
    <w:abstractNumId w:val="0"/>
  </w:num>
  <w:num w:numId="4" w16cid:durableId="703555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00"/>
    <w:rsid w:val="0000093F"/>
    <w:rsid w:val="0007214E"/>
    <w:rsid w:val="00093AA3"/>
    <w:rsid w:val="000D2C54"/>
    <w:rsid w:val="00133503"/>
    <w:rsid w:val="00137DC2"/>
    <w:rsid w:val="001F7100"/>
    <w:rsid w:val="00210073"/>
    <w:rsid w:val="002A4061"/>
    <w:rsid w:val="002D6D95"/>
    <w:rsid w:val="002F589D"/>
    <w:rsid w:val="0031031E"/>
    <w:rsid w:val="00320A78"/>
    <w:rsid w:val="003535BF"/>
    <w:rsid w:val="003A4DD5"/>
    <w:rsid w:val="004167B3"/>
    <w:rsid w:val="004A64DC"/>
    <w:rsid w:val="005000E8"/>
    <w:rsid w:val="005643C8"/>
    <w:rsid w:val="005A67F6"/>
    <w:rsid w:val="005C425A"/>
    <w:rsid w:val="006103B0"/>
    <w:rsid w:val="006C44E0"/>
    <w:rsid w:val="00731A3E"/>
    <w:rsid w:val="008324B2"/>
    <w:rsid w:val="00903D32"/>
    <w:rsid w:val="00905DB4"/>
    <w:rsid w:val="009724EC"/>
    <w:rsid w:val="009C0D99"/>
    <w:rsid w:val="009F3453"/>
    <w:rsid w:val="00A605CF"/>
    <w:rsid w:val="00AB6539"/>
    <w:rsid w:val="00AE1253"/>
    <w:rsid w:val="00AE175A"/>
    <w:rsid w:val="00B4459D"/>
    <w:rsid w:val="00B64D8B"/>
    <w:rsid w:val="00C30F65"/>
    <w:rsid w:val="00C70FCF"/>
    <w:rsid w:val="00D24188"/>
    <w:rsid w:val="00D416EF"/>
    <w:rsid w:val="00DC14AB"/>
    <w:rsid w:val="00DD0C8C"/>
    <w:rsid w:val="00E07932"/>
    <w:rsid w:val="00E14B05"/>
    <w:rsid w:val="00E244E8"/>
    <w:rsid w:val="00E62E21"/>
    <w:rsid w:val="00E63886"/>
    <w:rsid w:val="00E807DA"/>
    <w:rsid w:val="00EC7772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166FC"/>
  <w15:chartTrackingRefBased/>
  <w15:docId w15:val="{9783A5E2-3E6D-4629-B600-54AF8FC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71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24EC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4EC"/>
    <w:rPr>
      <w:rFonts w:ascii="新細明體" w:eastAsia="新細明體"/>
      <w:sz w:val="18"/>
      <w:szCs w:val="18"/>
    </w:rPr>
  </w:style>
  <w:style w:type="paragraph" w:styleId="a5">
    <w:name w:val="List Paragraph"/>
    <w:basedOn w:val="a"/>
    <w:uiPriority w:val="34"/>
    <w:qFormat/>
    <w:rsid w:val="00D416EF"/>
    <w:pPr>
      <w:ind w:leftChars="200" w:left="480"/>
    </w:pPr>
  </w:style>
  <w:style w:type="table" w:styleId="a6">
    <w:name w:val="Table Grid"/>
    <w:basedOn w:val="a1"/>
    <w:uiPriority w:val="39"/>
    <w:rsid w:val="00E6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721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214E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210073"/>
    <w:rPr>
      <w:b/>
      <w:bCs/>
    </w:rPr>
  </w:style>
  <w:style w:type="paragraph" w:styleId="aa">
    <w:name w:val="header"/>
    <w:basedOn w:val="a"/>
    <w:link w:val="ab"/>
    <w:uiPriority w:val="99"/>
    <w:unhideWhenUsed/>
    <w:rsid w:val="0013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3350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3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33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潘岳</dc:creator>
  <cp:keywords/>
  <dc:description/>
  <cp:lastModifiedBy>潘岳</cp:lastModifiedBy>
  <cp:revision>4</cp:revision>
  <cp:lastPrinted>2022-07-27T03:30:00Z</cp:lastPrinted>
  <dcterms:created xsi:type="dcterms:W3CDTF">2023-10-17T11:37:00Z</dcterms:created>
  <dcterms:modified xsi:type="dcterms:W3CDTF">2023-10-18T07:50:00Z</dcterms:modified>
</cp:coreProperties>
</file>